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F9271">
      <w:pPr>
        <w:spacing w:after="160"/>
        <w:jc w:val="center"/>
      </w:pPr>
      <w:bookmarkStart w:id="0" w:name="_GoBack"/>
      <w:bookmarkEnd w:id="0"/>
      <w:r>
        <w:drawing>
          <wp:inline distT="0" distB="0" distL="114300" distR="114300">
            <wp:extent cx="6446520" cy="148590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a:stretch>
                      <a:fillRect/>
                    </a:stretch>
                  </pic:blipFill>
                  <pic:spPr>
                    <a:xfrm>
                      <a:off x="0" y="0"/>
                      <a:ext cx="6446520" cy="1485977"/>
                    </a:xfrm>
                    <a:prstGeom prst="rect">
                      <a:avLst/>
                    </a:prstGeom>
                  </pic:spPr>
                </pic:pic>
              </a:graphicData>
            </a:graphic>
          </wp:inline>
        </w:drawing>
      </w:r>
    </w:p>
    <w:p w14:paraId="502DBE56">
      <w:pPr>
        <w:jc w:val="center"/>
      </w:pPr>
      <w:r>
        <w:rPr>
          <w:rFonts w:ascii="Times New Roman" w:hAnsi="Times New Roman" w:eastAsia="Times New Roman"/>
          <w:b/>
          <w:sz w:val="28"/>
        </w:rPr>
        <w:t>Email Draft - DPT-3 Requirement</w:t>
      </w:r>
    </w:p>
    <w:p w14:paraId="34248C38">
      <w:pPr>
        <w:jc w:val="left"/>
      </w:pPr>
      <w:r>
        <w:rPr>
          <w:rFonts w:ascii="Times New Roman" w:hAnsi="Times New Roman" w:eastAsia="Times New Roman"/>
          <w:b/>
          <w:sz w:val="25"/>
        </w:rPr>
        <w:t>Subject: Information Required for Filing Form DPT-3 with MCA/ROC</w:t>
      </w:r>
    </w:p>
    <w:p w14:paraId="08EEF907">
      <w:pPr>
        <w:jc w:val="both"/>
      </w:pPr>
      <w:r>
        <w:rPr>
          <w:rFonts w:ascii="Times New Roman" w:hAnsi="Times New Roman" w:eastAsia="Times New Roman"/>
          <w:b w:val="0"/>
          <w:sz w:val="24"/>
        </w:rPr>
        <w:t>Dear Sir/Madam,</w:t>
      </w:r>
    </w:p>
    <w:p w14:paraId="5EA0E33C">
      <w:pPr>
        <w:jc w:val="both"/>
      </w:pPr>
      <w:r>
        <w:rPr>
          <w:rFonts w:ascii="Times New Roman" w:hAnsi="Times New Roman" w:eastAsia="Times New Roman"/>
          <w:b w:val="0"/>
          <w:sz w:val="24"/>
        </w:rPr>
        <w:t>Since your group is owner/promoter of Private Limited Company / Limited Company, this email is relevant for you. Kindly please note that Form DPT-3 is required to be examined and filed with MCA/ROC, wherever applicable, for reporting deposits and outstanding receipt of money/loan not treated as deposits as on 31.03.2026.</w:t>
      </w:r>
    </w:p>
    <w:p w14:paraId="1DC9F8DF">
      <w:pPr>
        <w:jc w:val="both"/>
      </w:pPr>
      <w:r>
        <w:rPr>
          <w:rFonts w:ascii="Times New Roman" w:hAnsi="Times New Roman" w:eastAsia="Times New Roman"/>
          <w:b w:val="0"/>
          <w:sz w:val="24"/>
        </w:rPr>
        <w:t>As per MCA General Circular No. 02/2026 dated 19.06.2026, Form DPT-3 for FY 2025-26 can be filed up to 31.07.2026 without additional fees. After receiving the data from your end, we need to examine the ledgers, classify the balances and prepare the form. This will take minimum 5 days. Therefore, to avoid last-minute rush and incorrect filing in hurry, please send complete data positively on or before 10.07.2026.</w:t>
      </w:r>
    </w:p>
    <w:p w14:paraId="20ECFD05">
      <w:pPr>
        <w:spacing w:before="80" w:after="60"/>
      </w:pPr>
      <w:r>
        <w:rPr>
          <w:rFonts w:ascii="Times New Roman" w:hAnsi="Times New Roman" w:eastAsia="Times New Roman"/>
          <w:b/>
          <w:sz w:val="27"/>
        </w:rPr>
        <w:t>1. Documents / Data Required</w:t>
      </w:r>
    </w:p>
    <w:p w14:paraId="18B74B42">
      <w:pPr>
        <w:spacing w:after="40"/>
        <w:ind w:left="360" w:hanging="259"/>
      </w:pPr>
      <w:r>
        <w:rPr>
          <w:rFonts w:ascii="Times New Roman" w:hAnsi="Times New Roman" w:eastAsia="Times New Roman"/>
          <w:b w:val="0"/>
          <w:sz w:val="24"/>
        </w:rPr>
        <w:t xml:space="preserve">• </w:t>
      </w:r>
      <w:r>
        <w:rPr>
          <w:rFonts w:hint="default"/>
          <w:b w:val="0"/>
          <w:sz w:val="24"/>
          <w:lang w:val="en-US"/>
        </w:rPr>
        <w:t xml:space="preserve">1. </w:t>
      </w:r>
      <w:r>
        <w:rPr>
          <w:rFonts w:ascii="Times New Roman" w:hAnsi="Times New Roman" w:eastAsia="Times New Roman"/>
          <w:b w:val="0"/>
          <w:sz w:val="24"/>
        </w:rPr>
        <w:t>Tally data in pen drive, complete up to 31.03.2026.</w:t>
      </w:r>
    </w:p>
    <w:p w14:paraId="353F5ADC">
      <w:pPr>
        <w:spacing w:after="40"/>
        <w:ind w:left="360" w:hanging="259"/>
      </w:pPr>
      <w:r>
        <w:rPr>
          <w:rFonts w:ascii="Times New Roman" w:hAnsi="Times New Roman" w:eastAsia="Times New Roman"/>
          <w:b w:val="0"/>
          <w:sz w:val="24"/>
        </w:rPr>
        <w:t>•</w:t>
      </w:r>
      <w:r>
        <w:rPr>
          <w:rFonts w:hint="default"/>
          <w:b w:val="0"/>
          <w:sz w:val="24"/>
          <w:lang w:val="en-US"/>
        </w:rPr>
        <w:t xml:space="preserve"> 2. </w:t>
      </w:r>
      <w:r>
        <w:rPr>
          <w:rFonts w:ascii="Times New Roman" w:hAnsi="Times New Roman" w:eastAsia="Times New Roman"/>
          <w:b w:val="0"/>
          <w:sz w:val="24"/>
        </w:rPr>
        <w:t xml:space="preserve"> Copy of previous year Form DPT-3, if available.</w:t>
      </w:r>
    </w:p>
    <w:p w14:paraId="3498402A">
      <w:pPr>
        <w:spacing w:after="40"/>
        <w:ind w:left="360" w:hanging="259"/>
      </w:pPr>
      <w:r>
        <w:rPr>
          <w:rFonts w:ascii="Times New Roman" w:hAnsi="Times New Roman" w:eastAsia="Times New Roman"/>
          <w:b w:val="0"/>
          <w:sz w:val="24"/>
        </w:rPr>
        <w:t xml:space="preserve">• </w:t>
      </w:r>
      <w:r>
        <w:rPr>
          <w:rFonts w:hint="default"/>
          <w:b w:val="0"/>
          <w:sz w:val="24"/>
          <w:lang w:val="en-US"/>
        </w:rPr>
        <w:t xml:space="preserve">3. </w:t>
      </w:r>
      <w:r>
        <w:rPr>
          <w:rFonts w:ascii="Times New Roman" w:hAnsi="Times New Roman" w:eastAsia="Times New Roman"/>
          <w:b w:val="0"/>
          <w:sz w:val="24"/>
        </w:rPr>
        <w:t>Party-wise ledgers and balance confirmations, wherever available.</w:t>
      </w:r>
    </w:p>
    <w:p w14:paraId="429CA0BC">
      <w:pPr>
        <w:spacing w:after="40"/>
        <w:ind w:left="360" w:hanging="259"/>
      </w:pPr>
      <w:r>
        <w:rPr>
          <w:rFonts w:ascii="Times New Roman" w:hAnsi="Times New Roman" w:eastAsia="Times New Roman"/>
          <w:b w:val="0"/>
          <w:sz w:val="24"/>
        </w:rPr>
        <w:t xml:space="preserve">• </w:t>
      </w:r>
      <w:r>
        <w:rPr>
          <w:rFonts w:hint="default"/>
          <w:b w:val="0"/>
          <w:sz w:val="24"/>
          <w:lang w:val="en-US"/>
        </w:rPr>
        <w:t xml:space="preserve">4. </w:t>
      </w:r>
      <w:r>
        <w:rPr>
          <w:rFonts w:ascii="Times New Roman" w:hAnsi="Times New Roman" w:eastAsia="Times New Roman"/>
          <w:b w:val="0"/>
          <w:sz w:val="24"/>
        </w:rPr>
        <w:t>Details of interest paid/provided and TDS deducted, if applicable.</w:t>
      </w:r>
    </w:p>
    <w:p w14:paraId="0D7936C1">
      <w:pPr>
        <w:spacing w:after="40"/>
        <w:ind w:left="477" w:leftChars="42" w:hanging="376" w:hangingChars="157"/>
      </w:pPr>
      <w:r>
        <w:rPr>
          <w:rFonts w:ascii="Times New Roman" w:hAnsi="Times New Roman" w:eastAsia="Times New Roman"/>
          <w:b w:val="0"/>
          <w:sz w:val="24"/>
        </w:rPr>
        <w:t xml:space="preserve">• </w:t>
      </w:r>
      <w:r>
        <w:rPr>
          <w:rFonts w:hint="default"/>
          <w:b w:val="0"/>
          <w:sz w:val="24"/>
          <w:lang w:val="en-US"/>
        </w:rPr>
        <w:t xml:space="preserve">5. </w:t>
      </w:r>
      <w:r>
        <w:rPr>
          <w:rFonts w:ascii="Times New Roman" w:hAnsi="Times New Roman" w:eastAsia="Times New Roman"/>
          <w:b w:val="0"/>
          <w:sz w:val="24"/>
        </w:rPr>
        <w:t>Director declaration, wherever loan is received from director, confirming that amount is given from own funds and not from borrowed funds.</w:t>
      </w:r>
    </w:p>
    <w:p w14:paraId="5871E4DB">
      <w:pPr>
        <w:spacing w:before="80" w:after="60"/>
      </w:pPr>
      <w:r>
        <w:rPr>
          <w:rFonts w:ascii="Times New Roman" w:hAnsi="Times New Roman" w:eastAsia="Times New Roman"/>
          <w:b/>
          <w:sz w:val="27"/>
        </w:rPr>
        <w:t>2. Details Required for Each Applicable Loan / Advance / Deposit / Outstanding Money</w:t>
      </w:r>
    </w:p>
    <w:p w14:paraId="080B91E0">
      <w:pPr>
        <w:jc w:val="both"/>
      </w:pPr>
      <w:r>
        <w:rPr>
          <w:rFonts w:ascii="Times New Roman" w:hAnsi="Times New Roman" w:eastAsia="Times New Roman"/>
          <w:b w:val="0"/>
          <w:sz w:val="24"/>
        </w:rPr>
        <w:t>Please provide party-wise details in the following simple format wherever any amount is received or outstanding as on 31.03.2026:</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5"/>
        <w:gridCol w:w="2065"/>
        <w:gridCol w:w="2065"/>
        <w:gridCol w:w="2065"/>
        <w:gridCol w:w="2065"/>
      </w:tblGrid>
      <w:tr w14:paraId="4459D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65" w:type="dxa"/>
            <w:shd w:val="clear" w:color="auto" w:fill="EDEDED"/>
            <w:vAlign w:val="center"/>
          </w:tcPr>
          <w:p w14:paraId="2E8A88D1">
            <w:pPr>
              <w:spacing w:after="0"/>
              <w:jc w:val="center"/>
            </w:pPr>
            <w:r>
              <w:rPr>
                <w:rFonts w:ascii="Times New Roman" w:hAnsi="Times New Roman" w:eastAsia="Times New Roman"/>
                <w:b/>
                <w:sz w:val="21"/>
              </w:rPr>
              <w:t>Party / Bank Name</w:t>
            </w:r>
          </w:p>
        </w:tc>
        <w:tc>
          <w:tcPr>
            <w:tcW w:w="2065" w:type="dxa"/>
            <w:shd w:val="clear" w:color="auto" w:fill="EDEDED"/>
            <w:vAlign w:val="center"/>
          </w:tcPr>
          <w:p w14:paraId="0CC2A5FB">
            <w:pPr>
              <w:spacing w:after="0"/>
              <w:jc w:val="center"/>
            </w:pPr>
            <w:r>
              <w:rPr>
                <w:rFonts w:ascii="Times New Roman" w:hAnsi="Times New Roman" w:eastAsia="Times New Roman"/>
                <w:b/>
                <w:sz w:val="21"/>
              </w:rPr>
              <w:t>Opening Balance</w:t>
            </w:r>
          </w:p>
        </w:tc>
        <w:tc>
          <w:tcPr>
            <w:tcW w:w="2065" w:type="dxa"/>
            <w:shd w:val="clear" w:color="auto" w:fill="EDEDED"/>
            <w:vAlign w:val="center"/>
          </w:tcPr>
          <w:p w14:paraId="50C792AA">
            <w:pPr>
              <w:spacing w:after="0"/>
              <w:jc w:val="center"/>
            </w:pPr>
            <w:r>
              <w:rPr>
                <w:rFonts w:ascii="Times New Roman" w:hAnsi="Times New Roman" w:eastAsia="Times New Roman"/>
                <w:b/>
                <w:sz w:val="21"/>
              </w:rPr>
              <w:t>Received During Year</w:t>
            </w:r>
          </w:p>
        </w:tc>
        <w:tc>
          <w:tcPr>
            <w:tcW w:w="2065" w:type="dxa"/>
            <w:shd w:val="clear" w:color="auto" w:fill="EDEDED"/>
            <w:vAlign w:val="center"/>
          </w:tcPr>
          <w:p w14:paraId="48A7194F">
            <w:pPr>
              <w:spacing w:after="0"/>
              <w:jc w:val="center"/>
            </w:pPr>
            <w:r>
              <w:rPr>
                <w:rFonts w:ascii="Times New Roman" w:hAnsi="Times New Roman" w:eastAsia="Times New Roman"/>
                <w:b/>
                <w:sz w:val="21"/>
              </w:rPr>
              <w:t>Repaid / Adjusted</w:t>
            </w:r>
          </w:p>
        </w:tc>
        <w:tc>
          <w:tcPr>
            <w:tcW w:w="2065" w:type="dxa"/>
            <w:shd w:val="clear" w:color="auto" w:fill="EDEDED"/>
            <w:vAlign w:val="center"/>
          </w:tcPr>
          <w:p w14:paraId="577A334B">
            <w:pPr>
              <w:spacing w:after="0"/>
              <w:jc w:val="center"/>
            </w:pPr>
            <w:r>
              <w:rPr>
                <w:rFonts w:ascii="Times New Roman" w:hAnsi="Times New Roman" w:eastAsia="Times New Roman"/>
                <w:b/>
                <w:sz w:val="21"/>
              </w:rPr>
              <w:t>Closing Balance</w:t>
            </w:r>
          </w:p>
        </w:tc>
      </w:tr>
      <w:tr w14:paraId="4B122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5" w:type="dxa"/>
            <w:shd w:val="clear" w:color="auto" w:fill="F6F6F6"/>
            <w:vAlign w:val="center"/>
          </w:tcPr>
          <w:p w14:paraId="4BD2D4C7">
            <w:pPr>
              <w:spacing w:after="0"/>
              <w:jc w:val="center"/>
            </w:pPr>
            <w:r>
              <w:rPr>
                <w:rFonts w:ascii="Times New Roman" w:hAnsi="Times New Roman" w:eastAsia="Times New Roman"/>
                <w:b/>
                <w:sz w:val="21"/>
              </w:rPr>
              <w:t>Ageing: &lt;= 1 Year</w:t>
            </w:r>
          </w:p>
        </w:tc>
        <w:tc>
          <w:tcPr>
            <w:tcW w:w="2065" w:type="dxa"/>
            <w:shd w:val="clear" w:color="auto" w:fill="F6F6F6"/>
            <w:vAlign w:val="center"/>
          </w:tcPr>
          <w:p w14:paraId="3592315D">
            <w:pPr>
              <w:spacing w:after="0"/>
              <w:jc w:val="center"/>
            </w:pPr>
            <w:r>
              <w:rPr>
                <w:rFonts w:ascii="Times New Roman" w:hAnsi="Times New Roman" w:eastAsia="Times New Roman"/>
                <w:b/>
                <w:sz w:val="21"/>
              </w:rPr>
              <w:t>Ageing: &gt;1 to &lt;3 Years</w:t>
            </w:r>
          </w:p>
        </w:tc>
        <w:tc>
          <w:tcPr>
            <w:tcW w:w="2065" w:type="dxa"/>
            <w:shd w:val="clear" w:color="auto" w:fill="F6F6F6"/>
            <w:vAlign w:val="center"/>
          </w:tcPr>
          <w:p w14:paraId="3307C61D">
            <w:pPr>
              <w:spacing w:after="0"/>
              <w:jc w:val="center"/>
            </w:pPr>
            <w:r>
              <w:rPr>
                <w:rFonts w:ascii="Times New Roman" w:hAnsi="Times New Roman" w:eastAsia="Times New Roman"/>
                <w:b/>
                <w:sz w:val="21"/>
              </w:rPr>
              <w:t>Ageing: &gt;3 Years</w:t>
            </w:r>
          </w:p>
        </w:tc>
        <w:tc>
          <w:tcPr>
            <w:tcW w:w="2065" w:type="dxa"/>
            <w:shd w:val="clear" w:color="auto" w:fill="F6F6F6"/>
            <w:vAlign w:val="center"/>
          </w:tcPr>
          <w:p w14:paraId="57458DF5">
            <w:pPr>
              <w:spacing w:after="0"/>
              <w:jc w:val="center"/>
            </w:pPr>
            <w:r>
              <w:rPr>
                <w:rFonts w:ascii="Times New Roman" w:hAnsi="Times New Roman" w:eastAsia="Times New Roman"/>
                <w:b/>
                <w:sz w:val="21"/>
              </w:rPr>
              <w:t>Interest / TDS, if any</w:t>
            </w:r>
          </w:p>
        </w:tc>
        <w:tc>
          <w:tcPr>
            <w:tcW w:w="2065" w:type="dxa"/>
            <w:shd w:val="clear" w:color="auto" w:fill="F6F6F6"/>
            <w:vAlign w:val="center"/>
          </w:tcPr>
          <w:p w14:paraId="27293152">
            <w:pPr>
              <w:spacing w:after="0"/>
              <w:jc w:val="center"/>
            </w:pPr>
            <w:r>
              <w:rPr>
                <w:rFonts w:ascii="Times New Roman" w:hAnsi="Times New Roman" w:eastAsia="Times New Roman"/>
                <w:b/>
                <w:sz w:val="21"/>
              </w:rPr>
              <w:t>Nature / Remarks</w:t>
            </w:r>
          </w:p>
        </w:tc>
      </w:tr>
    </w:tbl>
    <w:p w14:paraId="525F681C">
      <w:pPr>
        <w:spacing w:before="80" w:after="60"/>
      </w:pPr>
      <w:r>
        <w:rPr>
          <w:rFonts w:ascii="Times New Roman" w:hAnsi="Times New Roman" w:eastAsia="Times New Roman"/>
          <w:b/>
          <w:sz w:val="27"/>
        </w:rPr>
        <w:t>3. Please Confirm Whether Any Amount Exists in the Following Categories</w:t>
      </w:r>
    </w:p>
    <w:p w14:paraId="2DA1DE00">
      <w:pPr>
        <w:spacing w:after="40"/>
        <w:ind w:left="360" w:hanging="259"/>
      </w:pPr>
      <w:r>
        <w:rPr>
          <w:rFonts w:hint="default"/>
          <w:b w:val="0"/>
          <w:sz w:val="24"/>
          <w:lang w:val="en-US"/>
        </w:rPr>
        <w:t>1</w:t>
      </w:r>
      <w:r>
        <w:rPr>
          <w:rFonts w:ascii="Times New Roman" w:hAnsi="Times New Roman" w:eastAsia="Times New Roman"/>
          <w:b w:val="0"/>
          <w:sz w:val="24"/>
        </w:rPr>
        <w:t>• Foreign or international bank loan/advance - mention bank name.</w:t>
      </w:r>
    </w:p>
    <w:p w14:paraId="1D1F24BA">
      <w:pPr>
        <w:spacing w:after="40"/>
        <w:ind w:left="360" w:hanging="259"/>
      </w:pPr>
      <w:r>
        <w:rPr>
          <w:rFonts w:hint="default"/>
          <w:b w:val="0"/>
          <w:sz w:val="24"/>
          <w:lang w:val="en-US"/>
        </w:rPr>
        <w:t>2</w:t>
      </w:r>
      <w:r>
        <w:rPr>
          <w:rFonts w:ascii="Times New Roman" w:hAnsi="Times New Roman" w:eastAsia="Times New Roman"/>
          <w:b w:val="0"/>
          <w:sz w:val="24"/>
        </w:rPr>
        <w:t>• Bank facility: CC, OD, term loan, vehicle loan or any other bank loan.</w:t>
      </w:r>
    </w:p>
    <w:p w14:paraId="1B0E6989">
      <w:pPr>
        <w:spacing w:after="40"/>
        <w:ind w:left="360" w:hanging="259"/>
      </w:pPr>
      <w:r>
        <w:rPr>
          <w:rFonts w:hint="default"/>
          <w:b w:val="0"/>
          <w:sz w:val="24"/>
          <w:lang w:val="en-US"/>
        </w:rPr>
        <w:t>3</w:t>
      </w:r>
      <w:r>
        <w:rPr>
          <w:rFonts w:ascii="Times New Roman" w:hAnsi="Times New Roman" w:eastAsia="Times New Roman"/>
          <w:b w:val="0"/>
          <w:sz w:val="24"/>
        </w:rPr>
        <w:t>• SBI/subsidiary bank, nationalised/notified bank or co-operative bank.</w:t>
      </w:r>
    </w:p>
    <w:p w14:paraId="1A61D433">
      <w:pPr>
        <w:spacing w:after="40"/>
        <w:ind w:left="360" w:hanging="259"/>
      </w:pPr>
      <w:r>
        <w:rPr>
          <w:rFonts w:hint="default"/>
          <w:b w:val="0"/>
          <w:sz w:val="24"/>
          <w:lang w:val="en-US"/>
        </w:rPr>
        <w:t>4</w:t>
      </w:r>
      <w:r>
        <w:rPr>
          <w:rFonts w:ascii="Times New Roman" w:hAnsi="Times New Roman" w:eastAsia="Times New Roman"/>
          <w:b w:val="0"/>
          <w:sz w:val="24"/>
        </w:rPr>
        <w:t>• SIDBI, RFC, RIICO, NBFC or any regional financial institution.</w:t>
      </w:r>
    </w:p>
    <w:p w14:paraId="07D29441">
      <w:pPr>
        <w:spacing w:after="40"/>
        <w:ind w:left="360" w:hanging="259"/>
      </w:pPr>
      <w:r>
        <w:rPr>
          <w:rFonts w:hint="default"/>
          <w:b w:val="0"/>
          <w:sz w:val="24"/>
          <w:lang w:val="en-US"/>
        </w:rPr>
        <w:t>5</w:t>
      </w:r>
      <w:r>
        <w:rPr>
          <w:rFonts w:ascii="Times New Roman" w:hAnsi="Times New Roman" w:eastAsia="Times New Roman"/>
          <w:b w:val="0"/>
          <w:sz w:val="24"/>
        </w:rPr>
        <w:t>• Scheduled bank or other finance company/body corporate.</w:t>
      </w:r>
    </w:p>
    <w:p w14:paraId="0B12244C">
      <w:pPr>
        <w:spacing w:after="40"/>
        <w:ind w:left="360" w:hanging="259"/>
      </w:pPr>
      <w:r>
        <w:rPr>
          <w:rFonts w:hint="default"/>
          <w:b w:val="0"/>
          <w:sz w:val="24"/>
          <w:lang w:val="en-US"/>
        </w:rPr>
        <w:t>6</w:t>
      </w:r>
      <w:r>
        <w:rPr>
          <w:rFonts w:ascii="Times New Roman" w:hAnsi="Times New Roman" w:eastAsia="Times New Roman"/>
          <w:b w:val="0"/>
          <w:sz w:val="24"/>
        </w:rPr>
        <w:t>• Loan from company, group company, LLP, firm or proprietorship concern.</w:t>
      </w:r>
    </w:p>
    <w:p w14:paraId="7057F133">
      <w:pPr>
        <w:spacing w:after="40"/>
        <w:ind w:left="360" w:hanging="259"/>
      </w:pPr>
      <w:r>
        <w:rPr>
          <w:rFonts w:hint="default"/>
          <w:b w:val="0"/>
          <w:sz w:val="24"/>
          <w:lang w:val="en-US"/>
        </w:rPr>
        <w:t>7</w:t>
      </w:r>
      <w:r>
        <w:rPr>
          <w:rFonts w:ascii="Times New Roman" w:hAnsi="Times New Roman" w:eastAsia="Times New Roman"/>
          <w:b w:val="0"/>
          <w:sz w:val="24"/>
        </w:rPr>
        <w:t>• Loan from directors, relatives of directors, shareholders/members or related parties.</w:t>
      </w:r>
    </w:p>
    <w:p w14:paraId="06E642CA">
      <w:pPr>
        <w:spacing w:after="40"/>
        <w:ind w:left="360" w:hanging="259"/>
      </w:pPr>
      <w:r>
        <w:rPr>
          <w:rFonts w:hint="default"/>
          <w:b w:val="0"/>
          <w:sz w:val="24"/>
          <w:lang w:val="en-US"/>
        </w:rPr>
        <w:t>8</w:t>
      </w:r>
      <w:r>
        <w:rPr>
          <w:rFonts w:ascii="Times New Roman" w:hAnsi="Times New Roman" w:eastAsia="Times New Roman"/>
          <w:b w:val="0"/>
          <w:sz w:val="24"/>
        </w:rPr>
        <w:t>• Customer advance, booking advance, earnest money, trade advance or security deposit.</w:t>
      </w:r>
    </w:p>
    <w:p w14:paraId="6711637E">
      <w:pPr>
        <w:spacing w:after="40"/>
        <w:ind w:left="360" w:hanging="259"/>
      </w:pPr>
      <w:r>
        <w:rPr>
          <w:rFonts w:hint="default"/>
          <w:b w:val="0"/>
          <w:sz w:val="24"/>
          <w:lang w:val="en-US"/>
        </w:rPr>
        <w:t>9</w:t>
      </w:r>
      <w:r>
        <w:rPr>
          <w:rFonts w:ascii="Times New Roman" w:hAnsi="Times New Roman" w:eastAsia="Times New Roman"/>
          <w:b w:val="0"/>
          <w:sz w:val="24"/>
        </w:rPr>
        <w:t>• Public deposit/shareholder deposit, renewed/repaid/matured unpaid deposit, if any.</w:t>
      </w:r>
    </w:p>
    <w:p w14:paraId="2EBB7D76">
      <w:pPr>
        <w:spacing w:after="40"/>
        <w:ind w:left="360" w:hanging="259"/>
      </w:pPr>
      <w:r>
        <w:rPr>
          <w:rFonts w:hint="default"/>
          <w:b w:val="0"/>
          <w:sz w:val="24"/>
          <w:lang w:val="en-US"/>
        </w:rPr>
        <w:t>10</w:t>
      </w:r>
      <w:r>
        <w:rPr>
          <w:rFonts w:ascii="Times New Roman" w:hAnsi="Times New Roman" w:eastAsia="Times New Roman"/>
          <w:b w:val="0"/>
          <w:sz w:val="24"/>
        </w:rPr>
        <w:t>• Net worth details: paid-up capital, reserves, securities premium, losses, etc.</w:t>
      </w:r>
    </w:p>
    <w:p w14:paraId="4C8ADF72">
      <w:pPr>
        <w:spacing w:after="40"/>
        <w:ind w:left="360" w:hanging="259"/>
      </w:pPr>
      <w:r>
        <w:rPr>
          <w:rFonts w:hint="default"/>
          <w:b w:val="0"/>
          <w:sz w:val="24"/>
          <w:lang w:val="en-US"/>
        </w:rPr>
        <w:t>11</w:t>
      </w:r>
      <w:r>
        <w:rPr>
          <w:rFonts w:ascii="Times New Roman" w:hAnsi="Times New Roman" w:eastAsia="Times New Roman"/>
          <w:b w:val="0"/>
          <w:sz w:val="24"/>
        </w:rPr>
        <w:t>• Committee meeting details, penalty, punishment or compounding, if applicable.</w:t>
      </w:r>
    </w:p>
    <w:p w14:paraId="0C0343E8">
      <w:pPr>
        <w:spacing w:before="80" w:after="60"/>
        <w:rPr>
          <w:rFonts w:ascii="Times New Roman" w:hAnsi="Times New Roman" w:eastAsia="Times New Roman"/>
          <w:b/>
          <w:sz w:val="27"/>
        </w:rPr>
      </w:pPr>
    </w:p>
    <w:p w14:paraId="7ACB4A21">
      <w:pPr>
        <w:spacing w:before="80" w:after="60"/>
        <w:rPr>
          <w:rFonts w:ascii="Times New Roman" w:hAnsi="Times New Roman" w:eastAsia="Times New Roman"/>
          <w:b/>
          <w:sz w:val="27"/>
        </w:rPr>
      </w:pPr>
    </w:p>
    <w:p w14:paraId="69DB97EB">
      <w:pPr>
        <w:spacing w:before="80" w:after="60"/>
      </w:pPr>
      <w:r>
        <w:rPr>
          <w:rFonts w:ascii="Times New Roman" w:hAnsi="Times New Roman" w:eastAsia="Times New Roman"/>
          <w:b/>
          <w:sz w:val="27"/>
        </w:rPr>
        <w:t>4. Why These Details Are Required</w:t>
      </w:r>
    </w:p>
    <w:p w14:paraId="73B615BE">
      <w:pPr>
        <w:jc w:val="both"/>
      </w:pPr>
      <w:r>
        <w:rPr>
          <w:rFonts w:ascii="Times New Roman" w:hAnsi="Times New Roman" w:eastAsia="Times New Roman"/>
          <w:b w:val="0"/>
          <w:sz w:val="24"/>
        </w:rPr>
        <w:t>These details are required to correctly classify the outstanding balances as deposit / amount not considered as deposit / other reporting item under the Companies Act, 2013 and the Companies (Acceptance of Deposits) Rules, 2014. Correct classification is necessary to avoid wrong or incomplete filing in Form DPT-3.</w:t>
      </w:r>
    </w:p>
    <w:p w14:paraId="79CA5815">
      <w:pPr>
        <w:spacing w:before="80" w:after="60"/>
      </w:pPr>
      <w:r>
        <w:rPr>
          <w:rFonts w:ascii="Times New Roman" w:hAnsi="Times New Roman" w:eastAsia="Times New Roman"/>
          <w:b/>
          <w:sz w:val="27"/>
        </w:rPr>
        <w:t>5. Filing Fees and Charges</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62"/>
        <w:gridCol w:w="5162"/>
      </w:tblGrid>
      <w:tr w14:paraId="68DC7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2" w:type="dxa"/>
            <w:vAlign w:val="center"/>
          </w:tcPr>
          <w:p w14:paraId="73BFA4D9">
            <w:pPr>
              <w:spacing w:after="0"/>
            </w:pPr>
            <w:r>
              <w:rPr>
                <w:rFonts w:ascii="Times New Roman" w:hAnsi="Times New Roman" w:eastAsia="Times New Roman"/>
                <w:b w:val="0"/>
                <w:sz w:val="23"/>
              </w:rPr>
              <w:t>MCA filing fees</w:t>
            </w:r>
          </w:p>
        </w:tc>
        <w:tc>
          <w:tcPr>
            <w:tcW w:w="5162" w:type="dxa"/>
            <w:vAlign w:val="center"/>
          </w:tcPr>
          <w:p w14:paraId="43B01C6F">
            <w:pPr>
              <w:spacing w:after="0"/>
            </w:pPr>
            <w:r>
              <w:rPr>
                <w:rFonts w:ascii="Times New Roman" w:hAnsi="Times New Roman" w:eastAsia="Times New Roman"/>
                <w:b w:val="0"/>
                <w:sz w:val="23"/>
              </w:rPr>
              <w:t>Rs. 500</w:t>
            </w:r>
          </w:p>
        </w:tc>
      </w:tr>
      <w:tr w14:paraId="3D89C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2" w:type="dxa"/>
            <w:vAlign w:val="center"/>
          </w:tcPr>
          <w:p w14:paraId="2DACE65A">
            <w:pPr>
              <w:spacing w:after="0"/>
            </w:pPr>
            <w:r>
              <w:rPr>
                <w:rFonts w:ascii="Times New Roman" w:hAnsi="Times New Roman" w:eastAsia="Times New Roman"/>
                <w:b w:val="0"/>
                <w:sz w:val="23"/>
              </w:rPr>
              <w:t>Professional charges / expenses</w:t>
            </w:r>
          </w:p>
        </w:tc>
        <w:tc>
          <w:tcPr>
            <w:tcW w:w="5162" w:type="dxa"/>
            <w:vAlign w:val="center"/>
          </w:tcPr>
          <w:p w14:paraId="675ED236">
            <w:pPr>
              <w:spacing w:after="0"/>
            </w:pPr>
            <w:r>
              <w:rPr>
                <w:rFonts w:ascii="Times New Roman" w:hAnsi="Times New Roman" w:eastAsia="Times New Roman"/>
                <w:b w:val="0"/>
                <w:sz w:val="23"/>
              </w:rPr>
              <w:t>Rs. 3,500</w:t>
            </w:r>
          </w:p>
        </w:tc>
      </w:tr>
      <w:tr w14:paraId="66485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2" w:type="dxa"/>
            <w:vAlign w:val="center"/>
          </w:tcPr>
          <w:p w14:paraId="1971EF22">
            <w:pPr>
              <w:spacing w:after="0"/>
            </w:pPr>
            <w:r>
              <w:rPr>
                <w:rFonts w:ascii="Times New Roman" w:hAnsi="Times New Roman" w:eastAsia="Times New Roman"/>
                <w:b w:val="0"/>
                <w:sz w:val="23"/>
              </w:rPr>
              <w:t>GST @ 18% on Rs. 3,500</w:t>
            </w:r>
          </w:p>
        </w:tc>
        <w:tc>
          <w:tcPr>
            <w:tcW w:w="5162" w:type="dxa"/>
            <w:vAlign w:val="center"/>
          </w:tcPr>
          <w:p w14:paraId="3010492D">
            <w:pPr>
              <w:spacing w:after="0"/>
            </w:pPr>
            <w:r>
              <w:rPr>
                <w:rFonts w:ascii="Times New Roman" w:hAnsi="Times New Roman" w:eastAsia="Times New Roman"/>
                <w:b w:val="0"/>
                <w:sz w:val="23"/>
              </w:rPr>
              <w:t>Rs. 630</w:t>
            </w:r>
          </w:p>
        </w:tc>
      </w:tr>
      <w:tr w14:paraId="6B5B9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2" w:type="dxa"/>
            <w:shd w:val="clear" w:color="auto" w:fill="EDEDED"/>
            <w:vAlign w:val="center"/>
          </w:tcPr>
          <w:p w14:paraId="35706B59">
            <w:pPr>
              <w:spacing w:after="0"/>
            </w:pPr>
            <w:r>
              <w:rPr>
                <w:rFonts w:ascii="Times New Roman" w:hAnsi="Times New Roman" w:eastAsia="Times New Roman"/>
                <w:b/>
                <w:sz w:val="23"/>
              </w:rPr>
              <w:t>Total payable</w:t>
            </w:r>
          </w:p>
        </w:tc>
        <w:tc>
          <w:tcPr>
            <w:tcW w:w="5162" w:type="dxa"/>
            <w:shd w:val="clear" w:color="auto" w:fill="EDEDED"/>
            <w:vAlign w:val="center"/>
          </w:tcPr>
          <w:p w14:paraId="371ECF4A">
            <w:pPr>
              <w:spacing w:after="0"/>
            </w:pPr>
            <w:r>
              <w:rPr>
                <w:rFonts w:ascii="Times New Roman" w:hAnsi="Times New Roman" w:eastAsia="Times New Roman"/>
                <w:b/>
                <w:sz w:val="23"/>
              </w:rPr>
              <w:t>Rs. 4,630</w:t>
            </w:r>
          </w:p>
        </w:tc>
      </w:tr>
      <w:tr w14:paraId="504B4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2" w:type="dxa"/>
            <w:vAlign w:val="center"/>
          </w:tcPr>
          <w:p w14:paraId="616833BB">
            <w:pPr>
              <w:spacing w:after="0"/>
            </w:pPr>
            <w:r>
              <w:rPr>
                <w:rFonts w:ascii="Times New Roman" w:hAnsi="Times New Roman" w:eastAsia="Times New Roman"/>
                <w:b w:val="0"/>
                <w:sz w:val="23"/>
              </w:rPr>
              <w:t>RTGS/NEFT details</w:t>
            </w:r>
          </w:p>
        </w:tc>
        <w:tc>
          <w:tcPr>
            <w:tcW w:w="5162" w:type="dxa"/>
            <w:vAlign w:val="center"/>
          </w:tcPr>
          <w:p w14:paraId="24D30227">
            <w:pPr>
              <w:spacing w:after="0"/>
            </w:pPr>
            <w:r>
              <w:rPr>
                <w:rFonts w:ascii="Times New Roman" w:hAnsi="Times New Roman" w:eastAsia="Times New Roman"/>
                <w:b w:val="0"/>
                <w:sz w:val="23"/>
              </w:rPr>
              <w:t>A/c No. 11740210000984 | IFSC: UCBA0001174</w:t>
            </w:r>
          </w:p>
        </w:tc>
      </w:tr>
    </w:tbl>
    <w:p w14:paraId="3554E5F8">
      <w:pPr>
        <w:spacing w:before="80" w:after="60"/>
      </w:pPr>
      <w:r>
        <w:rPr>
          <w:rFonts w:ascii="Times New Roman" w:hAnsi="Times New Roman" w:eastAsia="Times New Roman"/>
          <w:b/>
          <w:sz w:val="27"/>
        </w:rPr>
        <w:t>6. Soft Reminder on Delay</w:t>
      </w:r>
    </w:p>
    <w:p w14:paraId="25CE6B0A">
      <w:pPr>
        <w:jc w:val="both"/>
      </w:pPr>
      <w:r>
        <w:rPr>
          <w:rFonts w:ascii="Times New Roman" w:hAnsi="Times New Roman" w:eastAsia="Times New Roman"/>
          <w:b w:val="0"/>
          <w:sz w:val="24"/>
        </w:rPr>
        <w:t>Delay or non-furnishing of data may result in delay/non-filing of Form DPT-3. Filing after the permitted date may attract MCA additional fees ranging from 2 times to 12 times of normal filing fee, depending upon the period of delay. Non-compliance may also attract penalty up to Rs. 5,000 and further Rs. 500 per day for continuing default, wherever applicable. Hence, timely submission of data and charges is requested.</w:t>
      </w:r>
    </w:p>
    <w:p w14:paraId="19A91CAA">
      <w:pPr>
        <w:jc w:val="both"/>
      </w:pPr>
      <w:r>
        <w:rPr>
          <w:rFonts w:ascii="Times New Roman" w:hAnsi="Times New Roman" w:eastAsia="Times New Roman"/>
          <w:b w:val="0"/>
          <w:sz w:val="24"/>
        </w:rPr>
        <w:t>In case the above details have already been sent by you, kindly ignore this email.</w:t>
      </w:r>
    </w:p>
    <w:p w14:paraId="2605CA89">
      <w:r>
        <w:rPr>
          <w:rFonts w:ascii="Times New Roman" w:hAnsi="Times New Roman" w:eastAsia="Times New Roman"/>
          <w:b w:val="0"/>
          <w:sz w:val="24"/>
        </w:rPr>
        <w:t>Thanks &amp; Regards,</w:t>
      </w:r>
      <w:r>
        <w:rPr>
          <w:rFonts w:ascii="Times New Roman" w:hAnsi="Times New Roman" w:eastAsia="Times New Roman"/>
          <w:b/>
          <w:sz w:val="24"/>
        </w:rPr>
        <w:br w:type="textWrapping"/>
      </w:r>
      <w:r>
        <w:rPr>
          <w:rFonts w:ascii="Times New Roman" w:hAnsi="Times New Roman" w:eastAsia="Times New Roman"/>
          <w:b/>
          <w:sz w:val="24"/>
        </w:rPr>
        <w:t>FCA B. P. Mundra</w:t>
      </w:r>
      <w:r>
        <w:rPr>
          <w:rFonts w:ascii="Times New Roman" w:hAnsi="Times New Roman" w:eastAsia="Times New Roman"/>
          <w:b w:val="0"/>
          <w:sz w:val="24"/>
        </w:rPr>
        <w:br w:type="textWrapping"/>
      </w:r>
      <w:r>
        <w:rPr>
          <w:rFonts w:ascii="Times New Roman" w:hAnsi="Times New Roman" w:eastAsia="Times New Roman"/>
          <w:b w:val="0"/>
          <w:sz w:val="24"/>
        </w:rPr>
        <w:t>B. P. Mundra &amp; Co.</w:t>
      </w:r>
      <w:r>
        <w:rPr>
          <w:rFonts w:ascii="Times New Roman" w:hAnsi="Times New Roman" w:eastAsia="Times New Roman"/>
          <w:b w:val="0"/>
          <w:sz w:val="24"/>
        </w:rPr>
        <w:br w:type="textWrapping"/>
      </w:r>
      <w:r>
        <w:rPr>
          <w:rFonts w:ascii="Times New Roman" w:hAnsi="Times New Roman" w:eastAsia="Times New Roman"/>
          <w:b w:val="0"/>
          <w:sz w:val="24"/>
        </w:rPr>
        <w:t>Chartered Accountants</w:t>
      </w:r>
    </w:p>
    <w:sectPr>
      <w:pgSz w:w="11909" w:h="16834"/>
      <w:pgMar w:top="504" w:right="792" w:bottom="648" w:left="792"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SimSun"/>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Symbol">
    <w:panose1 w:val="05050102010706020507"/>
    <w:charset w:val="02"/>
    <w:family w:val="auto"/>
    <w:pitch w:val="default"/>
    <w:sig w:usb0="00000000" w:usb1="00000000" w:usb2="00000000" w:usb3="00000000" w:csb0="80000000" w:csb1="0000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2" w:lineRule="auto"/>
      </w:pPr>
      <w:r>
        <w:separator/>
      </w:r>
    </w:p>
  </w:footnote>
  <w:footnote w:type="continuationSeparator" w:id="1">
    <w:p>
      <w:pPr>
        <w:spacing w:before="0" w:after="0" w:line="252"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1"/>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0"/>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5"/>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29"/>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3"/>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5BA033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80" w:line="252" w:lineRule="auto"/>
    </w:pPr>
    <w:rPr>
      <w:rFonts w:ascii="Times New Roman" w:hAnsi="Times New Roman" w:eastAsia="Times New Roman" w:cstheme="minorBidi"/>
      <w:sz w:val="24"/>
      <w:szCs w:val="22"/>
      <w:lang w:val="en-US" w:eastAsia="en-US" w:bidi="ar-SA"/>
    </w:rPr>
  </w:style>
  <w:style w:type="paragraph" w:styleId="2">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ody Text"/>
    <w:basedOn w:val="1"/>
    <w:link w:val="144"/>
    <w:unhideWhenUsed/>
    <w:qFormat/>
    <w:uiPriority w:val="99"/>
    <w:pPr>
      <w:spacing w:after="120"/>
    </w:pPr>
  </w:style>
  <w:style w:type="paragraph" w:styleId="14">
    <w:name w:val="Body Text 2"/>
    <w:basedOn w:val="1"/>
    <w:link w:val="145"/>
    <w:unhideWhenUsed/>
    <w:qFormat/>
    <w:uiPriority w:val="99"/>
    <w:pPr>
      <w:spacing w:after="120" w:line="480" w:lineRule="auto"/>
    </w:pPr>
  </w:style>
  <w:style w:type="paragraph" w:styleId="15">
    <w:name w:val="Body Text 3"/>
    <w:basedOn w:val="1"/>
    <w:link w:val="146"/>
    <w:unhideWhenUsed/>
    <w:uiPriority w:val="99"/>
    <w:pPr>
      <w:spacing w:after="120"/>
    </w:pPr>
    <w:rPr>
      <w:sz w:val="16"/>
      <w:szCs w:val="16"/>
    </w:rPr>
  </w:style>
  <w:style w:type="paragraph" w:styleId="16">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7">
    <w:name w:val="Emphasis"/>
    <w:basedOn w:val="11"/>
    <w:qFormat/>
    <w:uiPriority w:val="20"/>
    <w:rPr>
      <w:i/>
      <w:iCs/>
    </w:rPr>
  </w:style>
  <w:style w:type="paragraph" w:styleId="18">
    <w:name w:val="footer"/>
    <w:basedOn w:val="1"/>
    <w:link w:val="136"/>
    <w:unhideWhenUsed/>
    <w:qFormat/>
    <w:uiPriority w:val="99"/>
    <w:pPr>
      <w:tabs>
        <w:tab w:val="center" w:pos="4680"/>
        <w:tab w:val="right" w:pos="9360"/>
      </w:tabs>
      <w:spacing w:after="0" w:line="240" w:lineRule="auto"/>
    </w:pPr>
  </w:style>
  <w:style w:type="paragraph" w:styleId="19">
    <w:name w:val="header"/>
    <w:basedOn w:val="1"/>
    <w:link w:val="135"/>
    <w:unhideWhenUsed/>
    <w:qFormat/>
    <w:uiPriority w:val="99"/>
    <w:pPr>
      <w:tabs>
        <w:tab w:val="center" w:pos="4680"/>
        <w:tab w:val="right" w:pos="9360"/>
      </w:tabs>
      <w:spacing w:after="0" w:line="240" w:lineRule="auto"/>
    </w:pPr>
  </w:style>
  <w:style w:type="paragraph" w:styleId="20">
    <w:name w:val="List"/>
    <w:basedOn w:val="1"/>
    <w:unhideWhenUsed/>
    <w:qFormat/>
    <w:uiPriority w:val="99"/>
    <w:pPr>
      <w:ind w:left="360" w:hanging="360"/>
      <w:contextualSpacing/>
    </w:pPr>
  </w:style>
  <w:style w:type="paragraph" w:styleId="21">
    <w:name w:val="List 2"/>
    <w:basedOn w:val="1"/>
    <w:unhideWhenUsed/>
    <w:uiPriority w:val="99"/>
    <w:pPr>
      <w:ind w:left="720" w:hanging="360"/>
      <w:contextualSpacing/>
    </w:pPr>
  </w:style>
  <w:style w:type="paragraph" w:styleId="22">
    <w:name w:val="List 3"/>
    <w:basedOn w:val="1"/>
    <w:unhideWhenUsed/>
    <w:qFormat/>
    <w:uiPriority w:val="99"/>
    <w:pPr>
      <w:ind w:left="1080" w:hanging="360"/>
      <w:contextualSpacing/>
    </w:pPr>
  </w:style>
  <w:style w:type="paragraph" w:styleId="23">
    <w:name w:val="List Bullet"/>
    <w:basedOn w:val="1"/>
    <w:unhideWhenUsed/>
    <w:qFormat/>
    <w:uiPriority w:val="99"/>
    <w:pPr>
      <w:numPr>
        <w:ilvl w:val="0"/>
        <w:numId w:val="1"/>
      </w:numPr>
      <w:contextualSpacing/>
    </w:pPr>
  </w:style>
  <w:style w:type="paragraph" w:styleId="24">
    <w:name w:val="List Bullet 2"/>
    <w:basedOn w:val="1"/>
    <w:unhideWhenUsed/>
    <w:qFormat/>
    <w:uiPriority w:val="99"/>
    <w:pPr>
      <w:numPr>
        <w:ilvl w:val="0"/>
        <w:numId w:val="2"/>
      </w:numPr>
      <w:contextualSpacing/>
    </w:pPr>
  </w:style>
  <w:style w:type="paragraph" w:styleId="25">
    <w:name w:val="List Bullet 3"/>
    <w:basedOn w:val="1"/>
    <w:unhideWhenUsed/>
    <w:qFormat/>
    <w:uiPriority w:val="99"/>
    <w:pPr>
      <w:numPr>
        <w:ilvl w:val="0"/>
        <w:numId w:val="3"/>
      </w:numPr>
      <w:contextualSpacing/>
    </w:pPr>
  </w:style>
  <w:style w:type="paragraph" w:styleId="26">
    <w:name w:val="List Continue"/>
    <w:basedOn w:val="1"/>
    <w:unhideWhenUsed/>
    <w:qFormat/>
    <w:uiPriority w:val="99"/>
    <w:pPr>
      <w:spacing w:after="120"/>
      <w:ind w:left="360"/>
      <w:contextualSpacing/>
    </w:pPr>
  </w:style>
  <w:style w:type="paragraph" w:styleId="27">
    <w:name w:val="List Continue 2"/>
    <w:basedOn w:val="1"/>
    <w:unhideWhenUsed/>
    <w:uiPriority w:val="99"/>
    <w:pPr>
      <w:spacing w:after="120"/>
      <w:ind w:left="720"/>
      <w:contextualSpacing/>
    </w:pPr>
  </w:style>
  <w:style w:type="paragraph" w:styleId="28">
    <w:name w:val="List Continue 3"/>
    <w:basedOn w:val="1"/>
    <w:unhideWhenUsed/>
    <w:qFormat/>
    <w:uiPriority w:val="99"/>
    <w:pPr>
      <w:spacing w:after="120"/>
      <w:ind w:left="1080"/>
      <w:contextualSpacing/>
    </w:pPr>
  </w:style>
  <w:style w:type="paragraph" w:styleId="29">
    <w:name w:val="List Number"/>
    <w:basedOn w:val="1"/>
    <w:unhideWhenUsed/>
    <w:qFormat/>
    <w:uiPriority w:val="99"/>
    <w:pPr>
      <w:numPr>
        <w:ilvl w:val="0"/>
        <w:numId w:val="4"/>
      </w:numPr>
      <w:contextualSpacing/>
    </w:pPr>
  </w:style>
  <w:style w:type="paragraph" w:styleId="30">
    <w:name w:val="List Number 2"/>
    <w:basedOn w:val="1"/>
    <w:unhideWhenUsed/>
    <w:uiPriority w:val="99"/>
    <w:pPr>
      <w:numPr>
        <w:ilvl w:val="0"/>
        <w:numId w:val="5"/>
      </w:numPr>
      <w:contextualSpacing/>
    </w:pPr>
  </w:style>
  <w:style w:type="paragraph" w:styleId="31">
    <w:name w:val="List Number 3"/>
    <w:basedOn w:val="1"/>
    <w:unhideWhenUsed/>
    <w:qFormat/>
    <w:uiPriority w:val="99"/>
    <w:pPr>
      <w:numPr>
        <w:ilvl w:val="0"/>
        <w:numId w:val="6"/>
      </w:numPr>
      <w:contextualSpacing/>
    </w:pPr>
  </w:style>
  <w:style w:type="paragraph" w:styleId="3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character" w:styleId="33">
    <w:name w:val="Strong"/>
    <w:basedOn w:val="11"/>
    <w:qFormat/>
    <w:uiPriority w:val="22"/>
    <w:rPr>
      <w:b/>
      <w:bCs/>
    </w:rPr>
  </w:style>
  <w:style w:type="paragraph" w:styleId="34">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5">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6">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7">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5">
    <w:name w:val="Header Char"/>
    <w:basedOn w:val="11"/>
    <w:link w:val="19"/>
    <w:qFormat/>
    <w:uiPriority w:val="99"/>
  </w:style>
  <w:style w:type="character" w:customStyle="1" w:styleId="136">
    <w:name w:val="Footer Char"/>
    <w:basedOn w:val="11"/>
    <w:link w:val="18"/>
    <w:qFormat/>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1"/>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1"/>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1"/>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1"/>
    <w:link w:val="36"/>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1"/>
    <w:link w:val="34"/>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1"/>
    <w:link w:val="13"/>
    <w:qFormat/>
    <w:uiPriority w:val="99"/>
  </w:style>
  <w:style w:type="character" w:customStyle="1" w:styleId="145">
    <w:name w:val="Body Text 2 Char"/>
    <w:basedOn w:val="11"/>
    <w:link w:val="14"/>
    <w:qFormat/>
    <w:uiPriority w:val="99"/>
  </w:style>
  <w:style w:type="character" w:customStyle="1" w:styleId="146">
    <w:name w:val="Body Text 3 Char"/>
    <w:basedOn w:val="11"/>
    <w:link w:val="15"/>
    <w:uiPriority w:val="99"/>
    <w:rPr>
      <w:sz w:val="16"/>
      <w:szCs w:val="16"/>
    </w:rPr>
  </w:style>
  <w:style w:type="character" w:customStyle="1" w:styleId="147">
    <w:name w:val="Macro Text Char"/>
    <w:basedOn w:val="11"/>
    <w:link w:val="3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1"/>
    <w:link w:val="148"/>
    <w:uiPriority w:val="29"/>
    <w:rPr>
      <w:i/>
      <w:iCs/>
      <w:color w:val="000000" w:themeColor="text1"/>
      <w14:textFill>
        <w14:solidFill>
          <w14:schemeClr w14:val="tx1"/>
        </w14:solidFill>
      </w14:textFill>
    </w:rPr>
  </w:style>
  <w:style w:type="character" w:customStyle="1" w:styleId="150">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1"/>
    <w:link w:val="156"/>
    <w:uiPriority w:val="30"/>
    <w:rPr>
      <w:b/>
      <w:bCs/>
      <w:i/>
      <w:iCs/>
      <w:color w:val="4F81BD" w:themeColor="accent1"/>
      <w14:textFill>
        <w14:solidFill>
          <w14:schemeClr w14:val="accent1"/>
        </w14:solidFill>
      </w14:textFill>
    </w:rPr>
  </w:style>
  <w:style w:type="character" w:customStyle="1" w:styleId="158">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1"/>
    <w:qFormat/>
    <w:uiPriority w:val="21"/>
    <w:rPr>
      <w:b/>
      <w:bCs/>
      <w:i/>
      <w:iCs/>
      <w:color w:val="4F81BD" w:themeColor="accent1"/>
      <w14:textFill>
        <w14:solidFill>
          <w14:schemeClr w14:val="accent1"/>
        </w14:solidFill>
      </w14:textFill>
    </w:rPr>
  </w:style>
  <w:style w:type="character" w:customStyle="1" w:styleId="160">
    <w:name w:val="Subtle Reference"/>
    <w:basedOn w:val="11"/>
    <w:qFormat/>
    <w:uiPriority w:val="31"/>
    <w:rPr>
      <w:smallCaps/>
      <w:color w:val="C0504D" w:themeColor="accent2"/>
      <w:u w:val="single"/>
      <w14:textFill>
        <w14:solidFill>
          <w14:schemeClr w14:val="accent2"/>
        </w14:solidFill>
      </w14:textFill>
    </w:rPr>
  </w:style>
  <w:style w:type="character" w:customStyle="1" w:styleId="161">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1"/>
    <w:qFormat/>
    <w:uiPriority w:val="33"/>
    <w:rPr>
      <w:b/>
      <w:bCs/>
      <w:smallCaps/>
      <w:spacing w:val="5"/>
    </w:rPr>
  </w:style>
  <w:style w:type="paragraph" w:customStyle="1" w:styleId="163">
    <w:name w:val="TOC Heading"/>
    <w:basedOn w:val="2"/>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582</Words>
  <Characters>3148</Characters>
  <Lines>0</Lines>
  <Paragraphs>0</Paragraphs>
  <TotalTime>4</TotalTime>
  <ScaleCrop>false</ScaleCrop>
  <LinksUpToDate>false</LinksUpToDate>
  <CharactersWithSpaces>3675</CharactersWithSpaces>
  <Application>WPS Office_12.1.0.26880_F1E327BC-269C-435d-A152-05C5408002CA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Atharv Mundra</cp:lastModifiedBy>
  <dcterms:modified xsi:type="dcterms:W3CDTF">2026-06-23T13:04:29Z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eyJoZGlkIjoiN2RlODY0ZTk5ZDJjYTQ4MTZjMjVlOTYzYzRkYTVjMWQiLCJ1c2VySWQiOiI1Njc2ODMyMzYzNTIifQ==</vt:lpwstr>
  </property>
  <property fmtid="{D5CDD505-2E9C-101B-9397-08002B2CF9AE}" pid="3" name="KSOProductBuildVer">
    <vt:lpwstr>1033-12.1.0.26880</vt:lpwstr>
  </property>
  <property fmtid="{D5CDD505-2E9C-101B-9397-08002B2CF9AE}" pid="4" name="ICV">
    <vt:lpwstr>3E163DA43E4544BE90BAA31F414D0D79_13</vt:lpwstr>
  </property>
</Properties>
</file>